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2154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16 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Токмаджан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Богдана Валерьевича, </w:t>
      </w:r>
      <w:r>
        <w:rPr>
          <w:rStyle w:val="cat-UserDefinedgrp-38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OrganizationNamegrp-30rplc-1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директором </w:t>
      </w:r>
      <w:r>
        <w:rPr>
          <w:rStyle w:val="cat-UserDefinedgrp-39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Российской Федерации по ХМАО-Югре в установленный законодательством срок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27.11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>, сведения о застрахованных лицах по форме ЕФС-1 раздел 1 подраздел 1.2 с типом «</w:t>
      </w:r>
      <w:r>
        <w:rPr>
          <w:rFonts w:ascii="Times New Roman" w:eastAsia="Times New Roman" w:hAnsi="Times New Roman" w:cs="Times New Roman"/>
          <w:sz w:val="27"/>
          <w:szCs w:val="27"/>
        </w:rPr>
        <w:t>Назначение пенсии»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застрахованное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запрос № </w:t>
      </w:r>
      <w:r>
        <w:rPr>
          <w:rFonts w:ascii="Times New Roman" w:eastAsia="Times New Roman" w:hAnsi="Times New Roman" w:cs="Times New Roman"/>
          <w:sz w:val="27"/>
          <w:szCs w:val="27"/>
        </w:rPr>
        <w:t>7731</w:t>
      </w:r>
      <w:r>
        <w:rPr>
          <w:rFonts w:ascii="Times New Roman" w:eastAsia="Times New Roman" w:hAnsi="Times New Roman" w:cs="Times New Roman"/>
          <w:sz w:val="27"/>
          <w:szCs w:val="27"/>
        </w:rPr>
        <w:t>-020-1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24.11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>), чем нарушил п. 3</w:t>
      </w:r>
      <w:r>
        <w:rPr>
          <w:rFonts w:ascii="Times New Roman" w:eastAsia="Times New Roman" w:hAnsi="Times New Roman" w:cs="Times New Roman"/>
          <w:sz w:val="27"/>
          <w:szCs w:val="27"/>
        </w:rPr>
        <w:t>,4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OrganizationNamegrp-30rplc-20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ся,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</w:t>
      </w:r>
      <w:r>
        <w:rPr>
          <w:rFonts w:ascii="Times New Roman" w:eastAsia="Times New Roman" w:hAnsi="Times New Roman" w:cs="Times New Roman"/>
          <w:sz w:val="27"/>
          <w:szCs w:val="27"/>
        </w:rPr>
        <w:t>причинах неявки суд не уведомил; з</w:t>
      </w:r>
      <w:r>
        <w:rPr>
          <w:rFonts w:ascii="Times New Roman" w:eastAsia="Times New Roman" w:hAnsi="Times New Roman" w:cs="Times New Roman"/>
          <w:sz w:val="28"/>
          <w:szCs w:val="28"/>
        </w:rPr>
        <w:t>ащитником привлекаемого до судебного заседании заявлены ходатайства о рассмотрении дела в отсутствии привлекаемого лица, о прекращении производства по делу в связи с малозначительностью совершенного правонарушения либо замене административного наказания в виде административного штрафа на предупреждение, иных х</w:t>
      </w:r>
      <w:r>
        <w:rPr>
          <w:rFonts w:ascii="Times New Roman" w:eastAsia="Times New Roman" w:hAnsi="Times New Roman" w:cs="Times New Roman"/>
          <w:sz w:val="27"/>
          <w:szCs w:val="27"/>
        </w:rPr>
        <w:t>одатайств не заявлено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Style w:val="cat-OrganizationNamegrp-30rplc-21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Style w:val="cat-OrganizationNamegrp-30rplc-2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11747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Style w:val="cat-OrganizationNamegrp-30rplc-2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4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03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пункте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2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подпунктах 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0106192/entry/112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8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Style w:val="cat-OrganizationNamegrp-30rplc-3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ст. 2.9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при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статьи 2.9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при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малозначительности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буквального толкования данной нормы следует, что применение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статьи 2.9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при рассмотрении дел об административном правонарушении является правом, а не обязанностью суда.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указывающих на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малозначительность совершенного правонарушения, из материалов дела не усматривается.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раздела II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частью 2 статьи 3.4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Кодекса, за исключением случаев,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частью 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настоящей статьи.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Анализ взаимосвязанных положений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части 2 статьи 3.4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части 1 статьи 4.1.1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применительно к обстоятельствам настоящего дела, не позволяет сделать вывод о наличии оснований для замены административного штрафа на предупреждение. В данном случае, вопреки положениям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части 2 статьи 3.4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возникает угроза причинения вреда неопределенному кругу лиц, которая в данном случае заключается не в наступлении каких-либо материальных последствий от совершенного правонарушения, а в пренебрежительном отношении субъекта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к порядку подачи сведений на застрахованных лиц, установленного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Федеральным законом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от 01 апреля 1996 года № 27-ФЗ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изложенного, оснований для применения ч. 1 ст. 4.1.1 КоАП РФ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Токмаджан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Богдана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6rplc-3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</w:t>
      </w:r>
      <w:r>
        <w:rPr>
          <w:rStyle w:val="cat-Addressgrp-4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Получатель: УФК по </w:t>
      </w:r>
      <w:r>
        <w:rPr>
          <w:rStyle w:val="cat-Addressgrp-6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7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(ОСФР по </w:t>
      </w:r>
      <w:r>
        <w:rPr>
          <w:rStyle w:val="cat-Addressgrp-5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31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</w:t>
      </w:r>
      <w:r>
        <w:rPr>
          <w:rStyle w:val="cat-PhoneNumbergrp-32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ОКТМО </w:t>
      </w:r>
      <w:r>
        <w:rPr>
          <w:rStyle w:val="cat-PhoneNumbergrp-33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0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>
        <w:rPr>
          <w:rStyle w:val="cat-PhoneNumbergrp-34rplc-4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8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ИН 79702700000000208700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</w:t>
      </w:r>
      <w:r>
        <w:rPr>
          <w:rStyle w:val="cat-Addressgrp-10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9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215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OrganizationNamegrp-30rplc-14">
    <w:name w:val="cat-OrganizationName grp-30 rplc-14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OrganizationNamegrp-30rplc-20">
    <w:name w:val="cat-OrganizationName grp-30 rplc-20"/>
    <w:basedOn w:val="DefaultParagraphFont"/>
  </w:style>
  <w:style w:type="character" w:customStyle="1" w:styleId="cat-OrganizationNamegrp-30rplc-21">
    <w:name w:val="cat-OrganizationName grp-30 rplc-21"/>
    <w:basedOn w:val="DefaultParagraphFont"/>
  </w:style>
  <w:style w:type="character" w:customStyle="1" w:styleId="cat-OrganizationNamegrp-30rplc-22">
    <w:name w:val="cat-OrganizationName grp-30 rplc-22"/>
    <w:basedOn w:val="DefaultParagraphFont"/>
  </w:style>
  <w:style w:type="character" w:customStyle="1" w:styleId="cat-OrganizationNamegrp-30rplc-24">
    <w:name w:val="cat-OrganizationName grp-30 rplc-24"/>
    <w:basedOn w:val="DefaultParagraphFont"/>
  </w:style>
  <w:style w:type="character" w:customStyle="1" w:styleId="cat-OrganizationNamegrp-30rplc-32">
    <w:name w:val="cat-OrganizationName grp-30 rplc-32"/>
    <w:basedOn w:val="DefaultParagraphFont"/>
  </w:style>
  <w:style w:type="character" w:customStyle="1" w:styleId="cat-Sumgrp-26rplc-35">
    <w:name w:val="cat-Sum grp-26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PhoneNumbergrp-31rplc-41">
    <w:name w:val="cat-PhoneNumber grp-31 rplc-41"/>
    <w:basedOn w:val="DefaultParagraphFont"/>
  </w:style>
  <w:style w:type="character" w:customStyle="1" w:styleId="cat-PhoneNumbergrp-32rplc-42">
    <w:name w:val="cat-PhoneNumber grp-32 rplc-42"/>
    <w:basedOn w:val="DefaultParagraphFont"/>
  </w:style>
  <w:style w:type="character" w:customStyle="1" w:styleId="cat-PhoneNumbergrp-33rplc-43">
    <w:name w:val="cat-PhoneNumber grp-33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PhoneNumbergrp-34rplc-45">
    <w:name w:val="cat-PhoneNumber grp-34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Addressgrp-10rplc-47">
    <w:name w:val="cat-Address grp-10 rplc-47"/>
    <w:basedOn w:val="DefaultParagraphFont"/>
  </w:style>
  <w:style w:type="character" w:customStyle="1" w:styleId="cat-Addressgrp-9rplc-48">
    <w:name w:val="cat-Address grp-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